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4"/>
        <w:gridCol w:w="1745"/>
        <w:gridCol w:w="1199"/>
        <w:gridCol w:w="4171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仿宋_GB2312"/>
                <w:sz w:val="24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代杰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讲师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2649716876@qq.com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仿宋_GB2312"/>
                <w:sz w:val="24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研究生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硕士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马原教研室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eastAsia" w:eastAsia="仿宋_GB2312"/>
                <w:sz w:val="24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  <w:lang w:eastAsia="zh-CN"/>
              </w:rPr>
              <w:t>马克思主义哲学、逻辑学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6DA6AA9">
            <w:pPr>
              <w:spacing w:line="360" w:lineRule="auto"/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 xml:space="preserve">    </w:t>
            </w:r>
            <w:r>
              <w:rPr>
                <w:rStyle w:val="4"/>
                <w:rFonts w:hint="eastAsia" w:eastAsia="仿宋_GB2312"/>
                <w:sz w:val="24"/>
              </w:rPr>
              <w:t>主要担任公共课《马克思主义基本原理》、专业课《逻辑学》、博雅课《批判性思维》《创造性思维与创新方法》课程的教学，近年来主持省、校级课题多项，国家级一流本科课程《司法社会工作》的重要参与者，主讲的《逻辑学》课程于2023年被认定为广东省线上线下混合式一流课程；指导思政专业学生参加国家级、省级教师技能大赛，获得一等奖4项、二等奖11项、三等奖5项；指导大学生创新创业训练项目获国家级2项、校级立项多想；2014年被评为惠州学院第二届“教学示范教师”，2015年获广东省高校教师微课教学大赛二等奖、2021年获惠州学院首届课程思政教学大赛二等奖、首届教学创新大赛二等奖，2021年和2024年分别获惠州学院第六届、第七届教学成果奖二等奖。</w:t>
            </w:r>
          </w:p>
          <w:p w14:paraId="256F6CA4">
            <w:pPr>
              <w:jc w:val="both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both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7FB39738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FBD1AC2"/>
    <w:rsid w:val="35013C6E"/>
    <w:rsid w:val="38FB29A1"/>
    <w:rsid w:val="394044FF"/>
    <w:rsid w:val="3B0B5824"/>
    <w:rsid w:val="3EAD17F5"/>
    <w:rsid w:val="45627FC1"/>
    <w:rsid w:val="597B1683"/>
    <w:rsid w:val="62F2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451</Characters>
  <Lines>2</Lines>
  <Paragraphs>1</Paragraphs>
  <TotalTime>0</TotalTime>
  <ScaleCrop>false</ScaleCrop>
  <LinksUpToDate>false</LinksUpToDate>
  <CharactersWithSpaces>455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